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В соответствии с письмом УГИБДД ГУ МВД России по Нижегородской области от 18 марта 2024 г. № 24/1851 министерство образования и науки Нижегородской области направляет информацию о дорожно-транспортных происшествиях в регионе с участием детей за 2 месяца 2024 года.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По итогам двух месяцев 2024 г. на территории региона число дорожно-транспортных происшествий (далее – ДТП) с участием подростков фактически осталось на уровне прошлого года (-2,4%, с 42 до 41), погиб один ребенок, число пострадавших снизилось на 2,3% (с 44 до 43).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 xml:space="preserve">По    итогам     2     месяцев     рост     ДТП   </w:t>
      </w:r>
      <w:r>
        <w:rPr>
          <w:rFonts w:ascii="Times New Roman" w:hAnsi="Times New Roman" w:cs="Times New Roman"/>
          <w:sz w:val="28"/>
          <w:szCs w:val="28"/>
        </w:rPr>
        <w:t xml:space="preserve">  допущен     на     территории </w:t>
      </w:r>
      <w:bookmarkStart w:id="0" w:name="_GoBack"/>
      <w:bookmarkEnd w:id="0"/>
      <w:r w:rsidRPr="00A67341">
        <w:rPr>
          <w:rFonts w:ascii="Times New Roman" w:hAnsi="Times New Roman" w:cs="Times New Roman"/>
          <w:sz w:val="28"/>
          <w:szCs w:val="28"/>
        </w:rPr>
        <w:t xml:space="preserve">10 муниципалитетов, это городские округа: Саров, Арзамас, Бор, Выкса, Вознесенский, Городецкий,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>, Павловский и Сосновский муниципальные округа.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В отчетном периоде наблюдается рост   на   69,72%</w:t>
      </w:r>
      <w:proofErr w:type="gramStart"/>
      <w:r w:rsidRPr="00A6734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67341">
        <w:rPr>
          <w:rFonts w:ascii="Times New Roman" w:hAnsi="Times New Roman" w:cs="Times New Roman"/>
          <w:sz w:val="28"/>
          <w:szCs w:val="28"/>
        </w:rPr>
        <w:t xml:space="preserve">с   13   до   22) числа дорожных происшествий с участием детей-пешеходов, непосредственно в феврале также отмечен их рост на 83,3% (с 6 до 11). Рост подобных ДТП прослеживается в городских округах: Нижний Новгород, Саров, Бор, Выкса, Городецком и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 муниципальных округах. При этом в городских округах Саров, Бор и Городецком муниципальном округе несовершеннолетние пешеходы попали в ДТП по собственной неосторожности.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Необходимо отметить тот факт, что 6 наездов совершены на пешеходных переходах (1 - на регулируемом пешеходном переходе, 5 - на нерегулируемых пешеходных переходах). Кроме того, во всех автоавариях несовершеннолетние пешеходы перебегали проезжую часть.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За два месяца 2024 г.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9 (+12,5%, 8) происшествий при </w:t>
      </w:r>
      <w:r w:rsidRPr="00A67341">
        <w:rPr>
          <w:rFonts w:ascii="Times New Roman" w:hAnsi="Times New Roman" w:cs="Times New Roman"/>
          <w:sz w:val="28"/>
          <w:szCs w:val="28"/>
        </w:rPr>
        <w:t>нахождении</w:t>
      </w:r>
      <w:r w:rsidRPr="00A67341">
        <w:rPr>
          <w:rFonts w:ascii="Times New Roman" w:hAnsi="Times New Roman" w:cs="Times New Roman"/>
          <w:sz w:val="28"/>
          <w:szCs w:val="28"/>
        </w:rPr>
        <w:tab/>
        <w:t>детей</w:t>
      </w:r>
      <w:r w:rsidRPr="00A673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41">
        <w:rPr>
          <w:rFonts w:ascii="Times New Roman" w:hAnsi="Times New Roman" w:cs="Times New Roman"/>
          <w:sz w:val="28"/>
          <w:szCs w:val="28"/>
        </w:rPr>
        <w:t>на</w:t>
      </w:r>
      <w:r w:rsidRPr="00A67341">
        <w:rPr>
          <w:rFonts w:ascii="Times New Roman" w:hAnsi="Times New Roman" w:cs="Times New Roman"/>
          <w:sz w:val="28"/>
          <w:szCs w:val="28"/>
        </w:rPr>
        <w:tab/>
        <w:t>безопасных</w:t>
      </w:r>
      <w:r w:rsidRPr="00A67341">
        <w:rPr>
          <w:rFonts w:ascii="Times New Roman" w:hAnsi="Times New Roman" w:cs="Times New Roman"/>
          <w:sz w:val="28"/>
          <w:szCs w:val="28"/>
        </w:rPr>
        <w:tab/>
        <w:t>маршрутах</w:t>
      </w:r>
      <w:proofErr w:type="gramStart"/>
      <w:r w:rsidRPr="00A6734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A67341">
        <w:rPr>
          <w:rFonts w:ascii="Times New Roman" w:hAnsi="Times New Roman" w:cs="Times New Roman"/>
          <w:sz w:val="28"/>
          <w:szCs w:val="28"/>
        </w:rPr>
        <w:t xml:space="preserve">Дом-Школа-Дом» (3 ДТП в г. Нижнем Новгороде, 1 ДТП в городских округах: Дзержинск, Саров, Бор, Шахунья и по 1 ДТП в Володарском и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 муниципальных округах).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Несмотря на снижение на 32,1% (с 28 до 19) числа аварий с участием детей пассажиров, в которых 21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летний ранен (-30%, АППГ - 30), </w:t>
      </w:r>
      <w:r w:rsidRPr="00A67341">
        <w:rPr>
          <w:rFonts w:ascii="Times New Roman" w:hAnsi="Times New Roman" w:cs="Times New Roman"/>
          <w:sz w:val="28"/>
          <w:szCs w:val="28"/>
        </w:rPr>
        <w:t xml:space="preserve">рост подобных ДТП зафиксирован в городских округах Выкса, Арзамас, Бор, Вознесенском, Городецком,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Дивеевском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, Павловском и Сосновском муниципальных округах. При этом в городских округах Выкса, Арзамас, Вознесенском и Городецком муниципальных округах отмечается рост ДТП с участием детей-пассажиров два месяца подряд. Кроме того, в 4 автоавариях несовершеннолетние пассажиры получили травмы в результате нарушения требований к их перевозке. Происшествия произошли на территории </w:t>
      </w:r>
      <w:proofErr w:type="spellStart"/>
      <w:r w:rsidRPr="00A67341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A67341">
        <w:rPr>
          <w:rFonts w:ascii="Times New Roman" w:hAnsi="Times New Roman" w:cs="Times New Roman"/>
          <w:sz w:val="28"/>
          <w:szCs w:val="28"/>
        </w:rPr>
        <w:t xml:space="preserve"> муниципального округа (2 ДТП), городских округов Бор (1 ДТП) и Выкса (1 ДТП).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t>Количество ДТП по неосторожности детей осталось на уровне прошлого года (4), однако число погибших детей увеличилось на 100% (с 0 до 1). Число пострадавших детей также осталось на уровне прошлого года (4). Вместе с тем рост подобных происшествий наблюдается в городских округах Саров, Бор и Городецком муниципальном округе.</w:t>
      </w:r>
    </w:p>
    <w:p w:rsidR="00DA7D43" w:rsidRPr="00A67341" w:rsidRDefault="00DA7D43" w:rsidP="00DA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41">
        <w:rPr>
          <w:rFonts w:ascii="Times New Roman" w:hAnsi="Times New Roman" w:cs="Times New Roman"/>
          <w:sz w:val="28"/>
          <w:szCs w:val="28"/>
        </w:rPr>
        <w:lastRenderedPageBreak/>
        <w:t>Анализ детской аварийности за последние пять   лет   показывает, что в оставшийся период 1 квартала будет прослеживаться высокая вероятность аварийности с детьми-пассажирами и с детьми-пешеходами в промежуток времени с 12.00 до 13.00 и с 16.00 до 19.00. В апреле будет прослеживаться высокая вероятность аварийности с детьми-пешеходами в промежуток времени с 15.00 до 18.00 и с 19.00 до 20.00.</w:t>
      </w:r>
    </w:p>
    <w:p w:rsidR="007C6461" w:rsidRDefault="007C6461" w:rsidP="00DA7D43">
      <w:pPr>
        <w:ind w:firstLine="567"/>
      </w:pPr>
    </w:p>
    <w:sectPr w:rsidR="007C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D3"/>
    <w:rsid w:val="006A50D3"/>
    <w:rsid w:val="007C6461"/>
    <w:rsid w:val="00D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5984-E174-4DA8-9C55-26F431F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2024-03-27T12:19:00Z</dcterms:created>
  <dcterms:modified xsi:type="dcterms:W3CDTF">2024-03-27T12:20:00Z</dcterms:modified>
</cp:coreProperties>
</file>